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6BC4" w14:textId="77777777" w:rsidR="00D63C15" w:rsidRPr="00DF2DEF" w:rsidRDefault="00D63C15" w:rsidP="00D63C1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B7B7B" w:themeColor="accent3" w:themeShade="BF"/>
        </w:rPr>
      </w:pPr>
      <w:r w:rsidRPr="00DF2DEF">
        <w:rPr>
          <w:b/>
          <w:bCs/>
          <w:color w:val="7B7B7B" w:themeColor="accent3" w:themeShade="BF"/>
        </w:rPr>
        <w:t xml:space="preserve">Annexe C </w:t>
      </w:r>
      <w:r w:rsidRPr="00DF2DEF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4"/>
          <w:szCs w:val="24"/>
        </w:rPr>
        <w:t xml:space="preserve">– </w:t>
      </w:r>
      <w:r w:rsidRPr="00DF2DEF">
        <w:rPr>
          <w:b/>
          <w:bCs/>
          <w:color w:val="7B7B7B" w:themeColor="accent3" w:themeShade="BF"/>
        </w:rPr>
        <w:t>Grille d</w:t>
      </w:r>
      <w:r>
        <w:rPr>
          <w:b/>
          <w:bCs/>
          <w:color w:val="7B7B7B" w:themeColor="accent3" w:themeShade="BF"/>
        </w:rPr>
        <w:t>’</w:t>
      </w:r>
      <w:r w:rsidRPr="00DF2DEF">
        <w:rPr>
          <w:b/>
          <w:bCs/>
          <w:color w:val="7B7B7B" w:themeColor="accent3" w:themeShade="BF"/>
        </w:rPr>
        <w:t xml:space="preserve">évaluation sommative </w:t>
      </w:r>
    </w:p>
    <w:p w14:paraId="2425F5A7" w14:textId="365F9836" w:rsidR="00D63C15" w:rsidRPr="00DF2DEF" w:rsidRDefault="00D63C15" w:rsidP="00D63C15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color w:val="7B7B7B" w:themeColor="accent3" w:themeShade="BF"/>
        </w:rPr>
      </w:pPr>
      <w:r w:rsidRPr="00DF2DEF">
        <w:rPr>
          <w:b/>
          <w:color w:val="7B7B7B" w:themeColor="accent3" w:themeShade="BF"/>
        </w:rPr>
        <w:t xml:space="preserve">Stage pratique </w:t>
      </w:r>
      <w:r w:rsidRPr="00DF2DEF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4"/>
          <w:szCs w:val="24"/>
        </w:rPr>
        <w:t>–</w:t>
      </w:r>
      <w:r w:rsidRPr="00DF2DEF">
        <w:rPr>
          <w:b/>
          <w:color w:val="7B7B7B" w:themeColor="accent3" w:themeShade="BF"/>
        </w:rPr>
        <w:t xml:space="preserve"> </w:t>
      </w:r>
      <w:r w:rsidRPr="00DF2DEF">
        <w:rPr>
          <w:b/>
          <w:bCs/>
          <w:color w:val="7B7B7B" w:themeColor="accent3" w:themeShade="BF"/>
        </w:rPr>
        <w:t xml:space="preserve">Éducation religieuse – </w:t>
      </w:r>
      <w:r w:rsidR="00136FF3">
        <w:rPr>
          <w:b/>
          <w:bCs/>
          <w:color w:val="7B7B7B" w:themeColor="accent3" w:themeShade="BF"/>
        </w:rPr>
        <w:t>1</w:t>
      </w:r>
      <w:r w:rsidR="00136FF3" w:rsidRPr="00136FF3">
        <w:rPr>
          <w:b/>
          <w:bCs/>
          <w:color w:val="7B7B7B" w:themeColor="accent3" w:themeShade="BF"/>
          <w:vertAlign w:val="superscript"/>
        </w:rPr>
        <w:t>re</w:t>
      </w:r>
      <w:r w:rsidR="00136FF3">
        <w:rPr>
          <w:b/>
          <w:bCs/>
          <w:color w:val="7B7B7B" w:themeColor="accent3" w:themeShade="BF"/>
        </w:rPr>
        <w:t xml:space="preserve"> partie</w:t>
      </w:r>
      <w:bookmarkStart w:id="0" w:name="_GoBack"/>
      <w:bookmarkEnd w:id="0"/>
    </w:p>
    <w:p w14:paraId="5F4DCB07" w14:textId="77777777" w:rsidR="00D63C15" w:rsidRPr="00DF2DEF" w:rsidRDefault="00D63C15" w:rsidP="00D63C1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B7B7B" w:themeColor="accent3" w:themeShade="BF"/>
        </w:rPr>
      </w:pPr>
    </w:p>
    <w:p w14:paraId="4672B0B2" w14:textId="77777777" w:rsidR="00D63C15" w:rsidRPr="0068143D" w:rsidRDefault="00D63C15" w:rsidP="00D63C15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18"/>
          <w:szCs w:val="18"/>
        </w:rPr>
      </w:pPr>
      <w:r w:rsidRPr="0068143D">
        <w:rPr>
          <w:b/>
          <w:bCs/>
          <w:color w:val="000000" w:themeColor="text1"/>
          <w:sz w:val="18"/>
          <w:szCs w:val="18"/>
        </w:rPr>
        <w:t>Nom de la participante ou du participant : ______________________________________________________________________</w:t>
      </w:r>
    </w:p>
    <w:p w14:paraId="38F17EBF" w14:textId="77777777" w:rsidR="00D63C15" w:rsidRPr="0068143D" w:rsidRDefault="00D63C15" w:rsidP="00D63C15">
      <w:pPr>
        <w:contextualSpacing w:val="0"/>
        <w:jc w:val="both"/>
        <w:rPr>
          <w:sz w:val="20"/>
          <w:szCs w:val="20"/>
        </w:rPr>
      </w:pPr>
    </w:p>
    <w:tbl>
      <w:tblPr>
        <w:tblStyle w:val="Grilledutableau"/>
        <w:tblW w:w="936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63C15" w:rsidRPr="0068143D" w14:paraId="21685522" w14:textId="77777777" w:rsidTr="00B36A25">
        <w:tc>
          <w:tcPr>
            <w:tcW w:w="9360" w:type="dxa"/>
            <w:gridSpan w:val="5"/>
            <w:shd w:val="clear" w:color="auto" w:fill="EDEDED" w:themeFill="accent3" w:themeFillTint="33"/>
          </w:tcPr>
          <w:p w14:paraId="23983650" w14:textId="77777777" w:rsidR="00D63C15" w:rsidRPr="0068143D" w:rsidRDefault="00D63C15" w:rsidP="00B36A25">
            <w:r w:rsidRPr="0068143D">
              <w:rPr>
                <w:b/>
                <w:bCs/>
                <w:sz w:val="18"/>
                <w:szCs w:val="18"/>
              </w:rPr>
              <w:t>Compétence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8143D">
              <w:rPr>
                <w:b/>
                <w:bCs/>
                <w:sz w:val="18"/>
                <w:szCs w:val="18"/>
              </w:rPr>
              <w:t xml:space="preserve">: Participation à un stage pratique et </w:t>
            </w:r>
            <w:r>
              <w:rPr>
                <w:b/>
                <w:bCs/>
                <w:sz w:val="18"/>
                <w:szCs w:val="18"/>
              </w:rPr>
              <w:t xml:space="preserve">à un </w:t>
            </w:r>
            <w:r w:rsidRPr="0068143D">
              <w:rPr>
                <w:b/>
                <w:bCs/>
                <w:sz w:val="18"/>
                <w:szCs w:val="18"/>
              </w:rPr>
              <w:t>exercice de pensée critique</w:t>
            </w:r>
          </w:p>
        </w:tc>
      </w:tr>
      <w:tr w:rsidR="00D63C15" w:rsidRPr="0068143D" w14:paraId="5491F7D9" w14:textId="77777777" w:rsidTr="00B36A25">
        <w:tc>
          <w:tcPr>
            <w:tcW w:w="1872" w:type="dxa"/>
            <w:shd w:val="clear" w:color="auto" w:fill="EDEDED" w:themeFill="accent3" w:themeFillTint="33"/>
          </w:tcPr>
          <w:p w14:paraId="3A96CA6D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CRITÈRES</w:t>
            </w:r>
          </w:p>
        </w:tc>
        <w:tc>
          <w:tcPr>
            <w:tcW w:w="1872" w:type="dxa"/>
            <w:shd w:val="clear" w:color="auto" w:fill="EDEDED" w:themeFill="accent3" w:themeFillTint="33"/>
          </w:tcPr>
          <w:p w14:paraId="45E07F9B" w14:textId="77777777" w:rsidR="00D63C15" w:rsidRPr="0068143D" w:rsidRDefault="00D63C15" w:rsidP="00B36A2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  <w:p w14:paraId="508C2623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Niveau 1</w:t>
            </w:r>
          </w:p>
        </w:tc>
        <w:tc>
          <w:tcPr>
            <w:tcW w:w="1872" w:type="dxa"/>
            <w:shd w:val="clear" w:color="auto" w:fill="EDEDED" w:themeFill="accent3" w:themeFillTint="33"/>
          </w:tcPr>
          <w:p w14:paraId="2B9FFBD6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C</w:t>
            </w:r>
          </w:p>
          <w:p w14:paraId="338D0288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Niveau 2</w:t>
            </w:r>
          </w:p>
        </w:tc>
        <w:tc>
          <w:tcPr>
            <w:tcW w:w="1872" w:type="dxa"/>
            <w:shd w:val="clear" w:color="auto" w:fill="EDEDED" w:themeFill="accent3" w:themeFillTint="33"/>
          </w:tcPr>
          <w:p w14:paraId="43A6E150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B</w:t>
            </w:r>
          </w:p>
          <w:p w14:paraId="741EA5F5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Niveau 3</w:t>
            </w:r>
          </w:p>
        </w:tc>
        <w:tc>
          <w:tcPr>
            <w:tcW w:w="1872" w:type="dxa"/>
            <w:shd w:val="clear" w:color="auto" w:fill="EDEDED" w:themeFill="accent3" w:themeFillTint="33"/>
          </w:tcPr>
          <w:p w14:paraId="56D1976C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A</w:t>
            </w:r>
          </w:p>
          <w:p w14:paraId="41AAE7F8" w14:textId="77777777" w:rsidR="00D63C15" w:rsidRPr="0068143D" w:rsidRDefault="00D63C15" w:rsidP="00B36A25">
            <w:pPr>
              <w:jc w:val="center"/>
            </w:pPr>
            <w:r w:rsidRPr="0068143D">
              <w:rPr>
                <w:b/>
                <w:bCs/>
                <w:sz w:val="18"/>
                <w:szCs w:val="18"/>
              </w:rPr>
              <w:t>Niveau 4</w:t>
            </w:r>
          </w:p>
        </w:tc>
      </w:tr>
      <w:tr w:rsidR="00D63C15" w:rsidRPr="0068143D" w14:paraId="4D05DFF7" w14:textId="77777777" w:rsidTr="00B36A25">
        <w:tc>
          <w:tcPr>
            <w:tcW w:w="1872" w:type="dxa"/>
          </w:tcPr>
          <w:p w14:paraId="7EDE291A" w14:textId="77777777" w:rsidR="00D63C15" w:rsidRPr="0068143D" w:rsidRDefault="00D63C15" w:rsidP="00B36A25"/>
        </w:tc>
        <w:tc>
          <w:tcPr>
            <w:tcW w:w="1872" w:type="dxa"/>
          </w:tcPr>
          <w:p w14:paraId="2BDBD284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La participante ou le participant :</w:t>
            </w:r>
          </w:p>
        </w:tc>
        <w:tc>
          <w:tcPr>
            <w:tcW w:w="1872" w:type="dxa"/>
          </w:tcPr>
          <w:p w14:paraId="2B27E666" w14:textId="77777777" w:rsidR="00D63C15" w:rsidRPr="0068143D" w:rsidRDefault="00D63C15" w:rsidP="00B36A25"/>
        </w:tc>
        <w:tc>
          <w:tcPr>
            <w:tcW w:w="1872" w:type="dxa"/>
          </w:tcPr>
          <w:p w14:paraId="34BEA5BB" w14:textId="77777777" w:rsidR="00D63C15" w:rsidRPr="0068143D" w:rsidRDefault="00D63C15" w:rsidP="00B36A25"/>
        </w:tc>
        <w:tc>
          <w:tcPr>
            <w:tcW w:w="1872" w:type="dxa"/>
          </w:tcPr>
          <w:p w14:paraId="10E8C623" w14:textId="77777777" w:rsidR="00D63C15" w:rsidRPr="0068143D" w:rsidRDefault="00D63C15" w:rsidP="00B36A25"/>
        </w:tc>
      </w:tr>
      <w:tr w:rsidR="00D63C15" w:rsidRPr="0068143D" w14:paraId="1262DCB8" w14:textId="77777777" w:rsidTr="00B36A25">
        <w:tc>
          <w:tcPr>
            <w:tcW w:w="1872" w:type="dxa"/>
          </w:tcPr>
          <w:p w14:paraId="756DE9DC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68143D">
              <w:rPr>
                <w:sz w:val="16"/>
                <w:szCs w:val="16"/>
              </w:rPr>
              <w:t>CC-Connaissance et compréhension des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(avant/pendant/après un événement pastoral, modules à</w:t>
            </w:r>
            <w:r>
              <w:rPr>
                <w:sz w:val="16"/>
                <w:szCs w:val="16"/>
              </w:rPr>
              <w:t> </w:t>
            </w:r>
            <w:r w:rsidRPr="0068143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étude, mission des écoles catholiques)</w:t>
            </w:r>
          </w:p>
        </w:tc>
        <w:tc>
          <w:tcPr>
            <w:tcW w:w="1872" w:type="dxa"/>
          </w:tcPr>
          <w:p w14:paraId="14B182AD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démontre</w:t>
            </w:r>
            <w:proofErr w:type="gramEnd"/>
            <w:r w:rsidRPr="0068143D">
              <w:rPr>
                <w:sz w:val="16"/>
                <w:szCs w:val="16"/>
              </w:rPr>
              <w:t xml:space="preserve"> une connaissance et une compréhension limitées des contenus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apprentissage de chaque module.</w:t>
            </w:r>
          </w:p>
        </w:tc>
        <w:tc>
          <w:tcPr>
            <w:tcW w:w="1872" w:type="dxa"/>
          </w:tcPr>
          <w:p w14:paraId="78EEF418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démontre</w:t>
            </w:r>
            <w:proofErr w:type="gramEnd"/>
            <w:r w:rsidRPr="0068143D">
              <w:rPr>
                <w:sz w:val="16"/>
                <w:szCs w:val="16"/>
              </w:rPr>
              <w:t xml:space="preserve"> une connaissance et une compréhension partielles des contenus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apprentissage de chaque module.</w:t>
            </w:r>
          </w:p>
        </w:tc>
        <w:tc>
          <w:tcPr>
            <w:tcW w:w="1872" w:type="dxa"/>
          </w:tcPr>
          <w:p w14:paraId="02174757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démontre</w:t>
            </w:r>
            <w:proofErr w:type="gramEnd"/>
            <w:r w:rsidRPr="0068143D">
              <w:rPr>
                <w:sz w:val="16"/>
                <w:szCs w:val="16"/>
              </w:rPr>
              <w:t xml:space="preserve"> une bonne connaissance et une bonne compréhension des contenus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apprentissage de chaque module.</w:t>
            </w:r>
          </w:p>
        </w:tc>
        <w:tc>
          <w:tcPr>
            <w:tcW w:w="1872" w:type="dxa"/>
          </w:tcPr>
          <w:p w14:paraId="52188994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démontre</w:t>
            </w:r>
            <w:proofErr w:type="gramEnd"/>
            <w:r w:rsidRPr="0068143D">
              <w:rPr>
                <w:sz w:val="16"/>
                <w:szCs w:val="16"/>
              </w:rPr>
              <w:t xml:space="preserve"> une connaissance et une compréhension approfondies des contenus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apprentissage de chaque module.</w:t>
            </w:r>
          </w:p>
        </w:tc>
      </w:tr>
      <w:tr w:rsidR="00D63C15" w:rsidRPr="0068143D" w14:paraId="4299E112" w14:textId="77777777" w:rsidTr="00B36A25">
        <w:tc>
          <w:tcPr>
            <w:tcW w:w="1872" w:type="dxa"/>
          </w:tcPr>
          <w:p w14:paraId="75BA432D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2. HP-Utilisation des habiletés de traitement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information (analyser et tirer des conclusions)</w:t>
            </w:r>
          </w:p>
        </w:tc>
        <w:tc>
          <w:tcPr>
            <w:tcW w:w="1872" w:type="dxa"/>
          </w:tcPr>
          <w:p w14:paraId="05B0085E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avec peu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efficacité les habiletés de traitement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 xml:space="preserve">information. </w:t>
            </w:r>
          </w:p>
        </w:tc>
        <w:tc>
          <w:tcPr>
            <w:tcW w:w="1872" w:type="dxa"/>
          </w:tcPr>
          <w:p w14:paraId="4D3DAABB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avec une certaine efficacité les habiletés de traitement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information.</w:t>
            </w:r>
          </w:p>
        </w:tc>
        <w:tc>
          <w:tcPr>
            <w:tcW w:w="1872" w:type="dxa"/>
          </w:tcPr>
          <w:p w14:paraId="51CBA4B2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avec efficacité les habiletés de traitement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 xml:space="preserve">information. </w:t>
            </w:r>
          </w:p>
        </w:tc>
        <w:tc>
          <w:tcPr>
            <w:tcW w:w="1872" w:type="dxa"/>
          </w:tcPr>
          <w:p w14:paraId="0C7A1590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avec beaucoup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efficacité les habiletés de traitement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 xml:space="preserve">information. </w:t>
            </w:r>
          </w:p>
        </w:tc>
      </w:tr>
      <w:tr w:rsidR="00D63C15" w:rsidRPr="0068143D" w14:paraId="1D979411" w14:textId="77777777" w:rsidTr="00B36A25">
        <w:tc>
          <w:tcPr>
            <w:tcW w:w="1872" w:type="dxa"/>
          </w:tcPr>
          <w:p w14:paraId="245C4C61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3. HP-Utilisation des processus de la pensée critique et de la pensée créative (le choix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éléments ou de questions à réflexion, prise de position)</w:t>
            </w:r>
          </w:p>
        </w:tc>
        <w:tc>
          <w:tcPr>
            <w:tcW w:w="1872" w:type="dxa"/>
          </w:tcPr>
          <w:p w14:paraId="03EADABE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processus de la pensée critique et de la pensée créative avec peu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efficacité.</w:t>
            </w:r>
          </w:p>
        </w:tc>
        <w:tc>
          <w:tcPr>
            <w:tcW w:w="1872" w:type="dxa"/>
          </w:tcPr>
          <w:p w14:paraId="63D652A9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processus de la pensée critique et de la pensée créative avec une certaine efficacité.</w:t>
            </w:r>
          </w:p>
        </w:tc>
        <w:tc>
          <w:tcPr>
            <w:tcW w:w="1872" w:type="dxa"/>
          </w:tcPr>
          <w:p w14:paraId="302DFA9B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processus de la pensée critique et de la pensée créative avec efficacité. </w:t>
            </w:r>
          </w:p>
        </w:tc>
        <w:tc>
          <w:tcPr>
            <w:tcW w:w="1872" w:type="dxa"/>
          </w:tcPr>
          <w:p w14:paraId="6EF3E4A6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processus de la pensée critique et de la pensée créative avec beaucoup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efficacité.</w:t>
            </w:r>
          </w:p>
        </w:tc>
      </w:tr>
      <w:tr w:rsidR="00D63C15" w:rsidRPr="0068143D" w14:paraId="148ACBE0" w14:textId="77777777" w:rsidTr="00B36A25">
        <w:tc>
          <w:tcPr>
            <w:tcW w:w="1872" w:type="dxa"/>
          </w:tcPr>
          <w:p w14:paraId="5B18090C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4. CO-Expression et organisation des idées et de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information</w:t>
            </w:r>
          </w:p>
        </w:tc>
        <w:tc>
          <w:tcPr>
            <w:tcW w:w="1872" w:type="dxa"/>
          </w:tcPr>
          <w:p w14:paraId="441FE607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exprime</w:t>
            </w:r>
            <w:proofErr w:type="gramEnd"/>
            <w:r w:rsidRPr="0068143D">
              <w:rPr>
                <w:sz w:val="16"/>
                <w:szCs w:val="16"/>
              </w:rPr>
              <w:t xml:space="preserve"> et organise les idées avec une précision limitée.</w:t>
            </w:r>
          </w:p>
        </w:tc>
        <w:tc>
          <w:tcPr>
            <w:tcW w:w="1872" w:type="dxa"/>
          </w:tcPr>
          <w:p w14:paraId="16C87E20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exprime</w:t>
            </w:r>
            <w:proofErr w:type="gramEnd"/>
            <w:r w:rsidRPr="0068143D">
              <w:rPr>
                <w:sz w:val="16"/>
                <w:szCs w:val="16"/>
              </w:rPr>
              <w:t xml:space="preserve"> et organise les idées avec une certaine précision.</w:t>
            </w:r>
          </w:p>
        </w:tc>
        <w:tc>
          <w:tcPr>
            <w:tcW w:w="1872" w:type="dxa"/>
          </w:tcPr>
          <w:p w14:paraId="249B5477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exprime</w:t>
            </w:r>
            <w:proofErr w:type="gramEnd"/>
            <w:r w:rsidRPr="0068143D">
              <w:rPr>
                <w:sz w:val="16"/>
                <w:szCs w:val="16"/>
              </w:rPr>
              <w:t xml:space="preserve"> et organise les idées avec précision.</w:t>
            </w:r>
          </w:p>
        </w:tc>
        <w:tc>
          <w:tcPr>
            <w:tcW w:w="1872" w:type="dxa"/>
          </w:tcPr>
          <w:p w14:paraId="76040D9A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exprime</w:t>
            </w:r>
            <w:proofErr w:type="gramEnd"/>
            <w:r w:rsidRPr="0068143D">
              <w:rPr>
                <w:sz w:val="16"/>
                <w:szCs w:val="16"/>
              </w:rPr>
              <w:t xml:space="preserve"> et organise les idées avec beaucoup de précision.</w:t>
            </w:r>
          </w:p>
        </w:tc>
      </w:tr>
      <w:tr w:rsidR="00D63C15" w:rsidRPr="0068143D" w14:paraId="23801E09" w14:textId="77777777" w:rsidTr="00B36A25">
        <w:tc>
          <w:tcPr>
            <w:tcW w:w="1872" w:type="dxa"/>
          </w:tcPr>
          <w:p w14:paraId="2BBC1ED4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5. CO-Utilisation des conventions de la langue et la terminologie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(structures de phrases, langage religieux)</w:t>
            </w:r>
          </w:p>
        </w:tc>
        <w:tc>
          <w:tcPr>
            <w:tcW w:w="1872" w:type="dxa"/>
          </w:tcPr>
          <w:p w14:paraId="6AF7654F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conventions de la langue et la terminologie avec peu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exactitude.</w:t>
            </w:r>
          </w:p>
        </w:tc>
        <w:tc>
          <w:tcPr>
            <w:tcW w:w="1872" w:type="dxa"/>
          </w:tcPr>
          <w:p w14:paraId="2FF66DAE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conventions de la langue et la terminologie avec une certaine exactitude.</w:t>
            </w:r>
          </w:p>
        </w:tc>
        <w:tc>
          <w:tcPr>
            <w:tcW w:w="1872" w:type="dxa"/>
          </w:tcPr>
          <w:p w14:paraId="1BDA67EE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conventions de la langue et la terminologie avec exactitude.</w:t>
            </w:r>
          </w:p>
        </w:tc>
        <w:tc>
          <w:tcPr>
            <w:tcW w:w="1872" w:type="dxa"/>
          </w:tcPr>
          <w:p w14:paraId="24D1E663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utilise</w:t>
            </w:r>
            <w:proofErr w:type="gramEnd"/>
            <w:r w:rsidRPr="0068143D">
              <w:rPr>
                <w:sz w:val="16"/>
                <w:szCs w:val="16"/>
              </w:rPr>
              <w:t xml:space="preserve"> les conventions de la langue et la terminologie avec beaucoup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exactitude.</w:t>
            </w:r>
          </w:p>
        </w:tc>
      </w:tr>
      <w:tr w:rsidR="00D63C15" w14:paraId="3F382FE0" w14:textId="77777777" w:rsidTr="00B36A25">
        <w:tc>
          <w:tcPr>
            <w:tcW w:w="1872" w:type="dxa"/>
          </w:tcPr>
          <w:p w14:paraId="050D1059" w14:textId="77777777" w:rsidR="00D63C15" w:rsidRPr="0068143D" w:rsidRDefault="00D63C15" w:rsidP="00B36A25">
            <w:r w:rsidRPr="0068143D">
              <w:rPr>
                <w:sz w:val="16"/>
                <w:szCs w:val="16"/>
              </w:rPr>
              <w:t>6. MA-Application des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dans des contextes familiers (participation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événement pastoral, être témoin de Jésus dans son rôle)</w:t>
            </w:r>
          </w:p>
        </w:tc>
        <w:tc>
          <w:tcPr>
            <w:tcW w:w="1872" w:type="dxa"/>
          </w:tcPr>
          <w:p w14:paraId="6138C7F9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applique</w:t>
            </w:r>
            <w:proofErr w:type="gramEnd"/>
            <w:r w:rsidRPr="0068143D">
              <w:rPr>
                <w:sz w:val="16"/>
                <w:szCs w:val="16"/>
              </w:rPr>
              <w:t xml:space="preserve"> les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dans des contextes familiers avec peu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 xml:space="preserve">exactitude. </w:t>
            </w:r>
          </w:p>
        </w:tc>
        <w:tc>
          <w:tcPr>
            <w:tcW w:w="1872" w:type="dxa"/>
          </w:tcPr>
          <w:p w14:paraId="5A5C8AA6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applique</w:t>
            </w:r>
            <w:proofErr w:type="gramEnd"/>
            <w:r w:rsidRPr="0068143D">
              <w:rPr>
                <w:sz w:val="16"/>
                <w:szCs w:val="16"/>
              </w:rPr>
              <w:t xml:space="preserve"> les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dans des contextes familiers avec une certaine exactitude.</w:t>
            </w:r>
          </w:p>
        </w:tc>
        <w:tc>
          <w:tcPr>
            <w:tcW w:w="1872" w:type="dxa"/>
          </w:tcPr>
          <w:p w14:paraId="2B3FF16D" w14:textId="77777777" w:rsidR="00D63C15" w:rsidRPr="0068143D" w:rsidRDefault="00D63C15" w:rsidP="00B36A25">
            <w:proofErr w:type="gramStart"/>
            <w:r w:rsidRPr="0068143D">
              <w:rPr>
                <w:sz w:val="16"/>
                <w:szCs w:val="16"/>
              </w:rPr>
              <w:t>applique</w:t>
            </w:r>
            <w:proofErr w:type="gramEnd"/>
            <w:r w:rsidRPr="0068143D">
              <w:rPr>
                <w:sz w:val="16"/>
                <w:szCs w:val="16"/>
              </w:rPr>
              <w:t xml:space="preserve"> les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dans des contextes familiers avec exactitude.</w:t>
            </w:r>
          </w:p>
        </w:tc>
        <w:tc>
          <w:tcPr>
            <w:tcW w:w="1872" w:type="dxa"/>
          </w:tcPr>
          <w:p w14:paraId="4F1DA462" w14:textId="77777777" w:rsidR="00D63C15" w:rsidRDefault="00D63C15" w:rsidP="00B36A25">
            <w:proofErr w:type="gramStart"/>
            <w:r w:rsidRPr="0068143D">
              <w:rPr>
                <w:sz w:val="16"/>
                <w:szCs w:val="16"/>
              </w:rPr>
              <w:t>applique</w:t>
            </w:r>
            <w:proofErr w:type="gramEnd"/>
            <w:r w:rsidRPr="0068143D">
              <w:rPr>
                <w:sz w:val="16"/>
                <w:szCs w:val="16"/>
              </w:rPr>
              <w:t xml:space="preserve"> les éléments à l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étude dans des contextes familiers avec beaucoup d</w:t>
            </w:r>
            <w:r>
              <w:rPr>
                <w:sz w:val="16"/>
                <w:szCs w:val="16"/>
              </w:rPr>
              <w:t>’</w:t>
            </w:r>
            <w:r w:rsidRPr="0068143D">
              <w:rPr>
                <w:sz w:val="16"/>
                <w:szCs w:val="16"/>
              </w:rPr>
              <w:t>exactitude.</w:t>
            </w:r>
          </w:p>
        </w:tc>
      </w:tr>
    </w:tbl>
    <w:p w14:paraId="699169E8" w14:textId="77777777" w:rsidR="00D63C15" w:rsidRDefault="00D63C15" w:rsidP="00D63C15"/>
    <w:sectPr w:rsidR="00D63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A66E" w14:textId="77777777" w:rsidR="00D51011" w:rsidRDefault="00D63C15">
      <w:pPr>
        <w:spacing w:line="240" w:lineRule="auto"/>
      </w:pPr>
      <w:r>
        <w:separator/>
      </w:r>
    </w:p>
  </w:endnote>
  <w:endnote w:type="continuationSeparator" w:id="0">
    <w:p w14:paraId="19841238" w14:textId="77777777" w:rsidR="00D51011" w:rsidRDefault="00D6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33B9" w14:textId="77777777" w:rsidR="00122335" w:rsidRDefault="00136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ECDB" w14:textId="77777777" w:rsidR="00122335" w:rsidRDefault="00136F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F8BE" w14:textId="77777777" w:rsidR="00122335" w:rsidRDefault="00136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D794" w14:textId="77777777" w:rsidR="00D51011" w:rsidRDefault="00D63C15">
      <w:pPr>
        <w:spacing w:line="240" w:lineRule="auto"/>
      </w:pPr>
      <w:r>
        <w:separator/>
      </w:r>
    </w:p>
  </w:footnote>
  <w:footnote w:type="continuationSeparator" w:id="0">
    <w:p w14:paraId="71D3C6FC" w14:textId="77777777" w:rsidR="00D51011" w:rsidRDefault="00D63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321E" w14:textId="77777777" w:rsidR="00122335" w:rsidRDefault="00136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DCC8" w14:textId="77777777" w:rsidR="00122335" w:rsidRDefault="00136F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54FC" w14:textId="77777777" w:rsidR="00122335" w:rsidRDefault="00136F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E"/>
    <w:rsid w:val="00136FF3"/>
    <w:rsid w:val="005A4FCE"/>
    <w:rsid w:val="00C17C20"/>
    <w:rsid w:val="00D51011"/>
    <w:rsid w:val="00D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536"/>
  <w15:chartTrackingRefBased/>
  <w15:docId w15:val="{B7AD9340-2853-46C5-9EF3-95952F3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4FCE"/>
    <w:pPr>
      <w:spacing w:after="0" w:line="276" w:lineRule="auto"/>
      <w:contextualSpacing/>
    </w:pPr>
    <w:rPr>
      <w:rFonts w:ascii="Arial" w:eastAsia="Arial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FC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FCE"/>
    <w:rPr>
      <w:rFonts w:ascii="Arial" w:eastAsia="Arial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A4FC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FCE"/>
    <w:rPr>
      <w:rFonts w:ascii="Arial" w:eastAsia="Arial" w:hAnsi="Arial" w:cs="Arial"/>
      <w:lang w:eastAsia="fr-CA"/>
    </w:rPr>
  </w:style>
  <w:style w:type="table" w:styleId="Grilledutableau">
    <w:name w:val="Table Grid"/>
    <w:basedOn w:val="TableauNormal"/>
    <w:uiPriority w:val="59"/>
    <w:rsid w:val="005A4FCE"/>
    <w:pPr>
      <w:spacing w:after="0" w:line="240" w:lineRule="auto"/>
      <w:contextualSpacing/>
    </w:pPr>
    <w:rPr>
      <w:rFonts w:ascii="Arial" w:eastAsia="Arial" w:hAnsi="Arial" w:cs="Arial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8" ma:contentTypeDescription="Create a new document." ma:contentTypeScope="" ma:versionID="d4573c9122ed789e169ab492bb030c5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9c077c0e02d2cff26ec531d2ca528436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0CC0D81D-C172-4D25-AD3A-D75E352B8303}"/>
</file>

<file path=customXml/itemProps2.xml><?xml version="1.0" encoding="utf-8"?>
<ds:datastoreItem xmlns:ds="http://schemas.openxmlformats.org/officeDocument/2006/customXml" ds:itemID="{5E1579CA-55DC-4711-82DC-F532BAEF1038}"/>
</file>

<file path=customXml/itemProps3.xml><?xml version="1.0" encoding="utf-8"?>
<ds:datastoreItem xmlns:ds="http://schemas.openxmlformats.org/officeDocument/2006/customXml" ds:itemID="{0AEAFA43-D1DC-4F6B-8D34-A48268A92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3</cp:revision>
  <dcterms:created xsi:type="dcterms:W3CDTF">2018-10-04T13:43:00Z</dcterms:created>
  <dcterms:modified xsi:type="dcterms:W3CDTF">2019-04-17T16:56:00Z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